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jc w:val="left"/>
        <w:outlineLvl w:val="0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tbl>
      <w:tblPr>
        <w:tblW w:w="102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2"/>
      </w:tblGrid>
      <w:tr>
        <w:trPr/>
        <w:tc>
          <w:tcPr>
            <w:tcW w:w="5103" w:type="dxa"/>
            <w:tcBorders/>
            <w:shd w:fill="auto" w:val="clear"/>
          </w:tcPr>
          <w:p>
            <w:pPr>
              <w:pStyle w:val="ConsPlusNormal"/>
              <w:ind w:left="0" w:hanging="0"/>
              <w:jc w:val="left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21 мая 2019 года</w:t>
            </w:r>
            <w:r/>
          </w:p>
        </w:tc>
        <w:tc>
          <w:tcPr>
            <w:tcW w:w="5102" w:type="dxa"/>
            <w:tcBorders/>
            <w:shd w:fill="auto" w:val="clear"/>
          </w:tcPr>
          <w:p>
            <w:pPr>
              <w:pStyle w:val="ConsPlusNormal"/>
              <w:ind w:left="0" w:hanging="0"/>
              <w:jc w:val="right"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N 48-УГ</w:t>
            </w:r>
            <w:r/>
          </w:p>
        </w:tc>
      </w:tr>
    </w:tbl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>
          <w:dstrike w:val="false"/>
          <w:strike w:val="false"/>
          <w:sz w:val="0"/>
          <w:i w:val="false"/>
          <w:u w:val="none"/>
          <w:b w:val="false"/>
          <w:sz w:val="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0"/>
          <w:u w:val="none"/>
        </w:rPr>
      </w:r>
      <w:r/>
    </w:p>
    <w:p>
      <w:pPr>
        <w:pStyle w:val="ConsPlusNormal"/>
        <w:ind w:left="0" w:hanging="0"/>
        <w:jc w:val="center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УКАЗ</w:t>
      </w:r>
      <w:r/>
    </w:p>
    <w:p>
      <w:pPr>
        <w:pStyle w:val="ConsPlusTitle"/>
        <w:ind w:left="0" w:hanging="0"/>
        <w:jc w:val="center"/>
        <w:rPr>
          <w:dstrike w:val="false"/>
          <w:strike w:val="false"/>
          <w:sz w:val="20"/>
          <w:i w:val="false"/>
          <w:u w:val="none"/>
          <w:b/>
          <w:sz w:val="20"/>
          <w:i w:val="false"/>
          <w:b/>
          <w:szCs w:val="24"/>
          <w:rFonts w:ascii="Arial" w:hAnsi="Arial" w:eastAsia="Arial" w:cs="Courier New"/>
        </w:rPr>
      </w:pPr>
      <w:r>
        <w:rPr>
          <w:b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ГУБЕРНАТОРА ГОРОДА СЕВАСТОПОЛЯ</w:t>
      </w:r>
      <w:r/>
    </w:p>
    <w:p>
      <w:pPr>
        <w:pStyle w:val="ConsPlusTitle"/>
        <w:ind w:left="0" w:hanging="0"/>
        <w:jc w:val="center"/>
        <w:rPr>
          <w:dstrike w:val="false"/>
          <w:strike w:val="false"/>
          <w:sz w:val="20"/>
          <w:i w:val="false"/>
          <w:u w:val="none"/>
          <w:b/>
          <w:sz w:val="20"/>
          <w:i w:val="false"/>
          <w:b/>
          <w:szCs w:val="24"/>
          <w:rFonts w:ascii="Arial" w:hAnsi="Arial" w:eastAsia="Arial" w:cs="Courier New"/>
        </w:rPr>
      </w:pPr>
      <w:r>
        <w:rPr>
          <w:b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 НАДЕЛЕНИИ ПОЛНОМОЧИЯМИ ПО НАПРАВЛЕНИЮ ЗАПРОСОВ В КРЕДИТНЫЕ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ОРГАНИЗАЦИИ, НАЛОГОВЫЕ ОРГАНЫ РОССИЙСКОЙ ФЕДЕРАЦИИ И ОРГАНЫ,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ОСУЩЕСТВЛЯЮЩИЕ ГОСУДАРСТВЕННУЮ РЕГИСТРАЦИЮ ПРАВ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НА НЕДВИЖИМОЕ ИМУЩЕСТВО И СДЕЛОК С НИМ, ПРИ ОСУЩЕСТВЛЕНИИ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ПРОВЕРОК В ЦЕЛЯХ ПРОТИВОДЕЙСТВИЯ КОРРУПЦИИ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В соответствии с </w:t>
      </w:r>
      <w:hyperlink r:id="rId2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коррупции", </w:t>
      </w:r>
      <w:hyperlink r:id="rId3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Уставом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города Севастополя, </w:t>
      </w:r>
      <w:hyperlink r:id="rId4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города Севастополя от 11.06.2014 N 30-ЗС "О противодействии коррупции в городе Севастополе" постановляю: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1. Наделить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 заместителя Губернатора - Председателя Правительства Севастополя, координирующего работу по вопросам содействия в реализации мер антикоррупционной политики в городе Севастополе.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2. Настоящий Указ вступает в силу со дня его официального опубликования.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3. Контроль за исполнением настоящего Указа оставляю за собой.</w:t>
      </w:r>
      <w:r/>
    </w:p>
    <w:p>
      <w:pPr>
        <w:pStyle w:val="ConsPlusNormal"/>
        <w:ind w:left="0" w:hanging="0"/>
        <w:jc w:val="right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Губернатор города Севастополя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Д.В.ОВСЯННИКОВ</w:t>
      </w:r>
      <w:r/>
    </w:p>
    <w:p>
      <w:pPr>
        <w:pStyle w:val="ConsPlusNormal"/>
        <w:ind w:left="0" w:hanging="0"/>
        <w:jc w:val="left"/>
      </w:pPr>
      <w:r>
        <w:rPr>
          <w:b w:val="false"/>
          <w:i w:val="false"/>
          <w:strike w:val="false"/>
          <w:dstrike w:val="false"/>
          <w:sz w:val="20"/>
          <w:u w:val="none"/>
        </w:rPr>
        <w:t>Севастополь</w:t>
      </w:r>
      <w:r/>
    </w:p>
    <w:p>
      <w:pPr>
        <w:pStyle w:val="ConsPlusNormal"/>
        <w:spacing w:before="200" w:after="0"/>
        <w:ind w:left="0" w:hanging="0"/>
        <w:jc w:val="left"/>
      </w:pPr>
      <w:r>
        <w:rPr>
          <w:b w:val="false"/>
          <w:i w:val="false"/>
          <w:strike w:val="false"/>
          <w:dstrike w:val="false"/>
          <w:sz w:val="20"/>
          <w:u w:val="none"/>
        </w:rPr>
        <w:t>21 мая 2019 года</w:t>
      </w:r>
      <w:r/>
    </w:p>
    <w:p>
      <w:pPr>
        <w:pStyle w:val="ConsPlusNormal"/>
        <w:spacing w:before="200" w:after="0"/>
        <w:ind w:left="0" w:hanging="0"/>
        <w:jc w:val="left"/>
      </w:pPr>
      <w:r>
        <w:rPr>
          <w:b w:val="false"/>
          <w:i w:val="false"/>
          <w:strike w:val="false"/>
          <w:dstrike w:val="false"/>
          <w:sz w:val="20"/>
          <w:u w:val="none"/>
        </w:rPr>
        <w:t>N 48-УГ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/>
      </w:r>
      <w:r/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133" w:right="566" w:header="0" w:top="1440" w:footer="0" w:bottom="1440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0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367"/>
      <w:gridCol w:w="3469"/>
      <w:gridCol w:w="3371"/>
    </w:tblGrid>
    <w:tr>
      <w:trPr>
        <w:trHeight w:val="1663" w:hRule="exact"/>
      </w:trPr>
      <w:tc>
        <w:tcPr>
          <w:tcW w:w="3367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000000"/>
              <w:sz w:val="16"/>
            </w:rPr>
            <w:t>надежная правовая поддержка</w:t>
          </w:r>
          <w:r/>
        </w:p>
      </w:tc>
      <w:tc>
        <w:tcPr>
          <w:tcW w:w="3469" w:type="dxa"/>
          <w:tcBorders/>
          <w:shd w:fill="auto" w:val="clear"/>
          <w:vAlign w:val="center"/>
        </w:tcPr>
        <w:p>
          <w:pPr>
            <w:pStyle w:val="ConsPlusNormal"/>
            <w:jc w:val="center"/>
          </w:pPr>
          <w:hyperlink r:id="rId1">
            <w:r>
              <w:rPr>
                <w:rStyle w:val="Style14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  <w:r/>
        </w:p>
      </w:tc>
      <w:tc>
        <w:tcPr>
          <w:tcW w:w="3371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0" w:name="__Fieldmark__4521_695667355"/>
          <w:r>
            <w:rPr>
              <w:rFonts w:ascii="0" w:hAnsi="0"/>
              <w:b w:val="false"/>
              <w:i w:val="false"/>
              <w:sz w:val="20"/>
            </w:rPr>
          </w:r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bookmarkEnd w:id="0"/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1" w:name="__Fieldmark__4524_695667355"/>
          <w:r>
            <w:rPr>
              <w:rFonts w:ascii="0" w:hAnsi="0"/>
              <w:b w:val="false"/>
              <w:i w:val="false"/>
              <w:sz w:val="20"/>
            </w:rPr>
          </w:r>
          <w:bookmarkEnd w:id="1"/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r/>
        </w:p>
      </w:tc>
    </w:tr>
  </w:tbl>
  <w:p>
    <w:pPr>
      <w:pStyle w:val="ConsPlusNormal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367"/>
      <w:gridCol w:w="3469"/>
      <w:gridCol w:w="3371"/>
    </w:tblGrid>
    <w:tr>
      <w:trPr>
        <w:trHeight w:val="1663" w:hRule="exact"/>
      </w:trPr>
      <w:tc>
        <w:tcPr>
          <w:tcW w:w="3367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000000"/>
              <w:sz w:val="16"/>
            </w:rPr>
            <w:t>надежная правовая поддержка</w:t>
          </w:r>
          <w:r/>
        </w:p>
      </w:tc>
      <w:tc>
        <w:tcPr>
          <w:tcW w:w="3469" w:type="dxa"/>
          <w:tcBorders/>
          <w:shd w:fill="auto" w:val="clear"/>
          <w:vAlign w:val="center"/>
        </w:tcPr>
        <w:p>
          <w:pPr>
            <w:pStyle w:val="ConsPlusNormal"/>
            <w:jc w:val="center"/>
          </w:pPr>
          <w:hyperlink r:id="rId1">
            <w:r>
              <w:rPr>
                <w:rStyle w:val="Style14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  <w:r/>
        </w:p>
      </w:tc>
      <w:tc>
        <w:tcPr>
          <w:tcW w:w="3371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2" w:name="__Fieldmark__4539_695667355"/>
          <w:r>
            <w:rPr>
              <w:rFonts w:ascii="0" w:hAnsi="0"/>
              <w:b w:val="false"/>
              <w:i w:val="false"/>
              <w:sz w:val="20"/>
            </w:rPr>
          </w:r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bookmarkEnd w:id="2"/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3" w:name="__Fieldmark__4542_695667355"/>
          <w:r>
            <w:rPr>
              <w:rFonts w:ascii="0" w:hAnsi="0"/>
              <w:b w:val="false"/>
              <w:i w:val="false"/>
              <w:sz w:val="20"/>
            </w:rPr>
          </w:r>
          <w:bookmarkEnd w:id="3"/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r/>
        </w:p>
      </w:tc>
    </w:tr>
  </w:tbl>
  <w:p>
    <w:pPr>
      <w:pStyle w:val="ConsPlusNormal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>
              <w:rFonts w:ascii="0" w:hAnsi="0"/>
              <w:b w:val="false"/>
              <w:i w:val="false"/>
              <w:sz w:val="16"/>
            </w:rPr>
            <w:t>Указ Губернатора города Севастополя от 21.05.2019 N 48-УГ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 наделении полномочиями по направлению запросов в кредитные ...</w:t>
          </w:r>
          <w:r/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jc w:val="center"/>
            <w:rPr>
              <w:dstrike w:val="false"/>
              <w:strike w:val="false"/>
              <w:sz w:val="20"/>
              <w:i w:val="false"/>
              <w:u w:val="none"/>
              <w:b w:val="false"/>
              <w:sz w:val="20"/>
              <w:i w:val="false"/>
              <w:b w:val="false"/>
              <w:szCs w:val="24"/>
              <w:rFonts w:ascii="Arial" w:hAnsi="Arial" w:eastAsia="Arial" w:cs="Courier New"/>
            </w:rPr>
          </w:pPr>
          <w:r>
            <w:rPr/>
          </w:r>
          <w:r/>
        </w:p>
        <w:p>
          <w:pPr>
            <w:pStyle w:val="ConsPlusNormal"/>
            <w:jc w:val="center"/>
            <w:rPr>
              <w:dstrike w:val="false"/>
              <w:strike w:val="false"/>
              <w:sz w:val="20"/>
              <w:i w:val="false"/>
              <w:u w:val="none"/>
              <w:b w:val="false"/>
              <w:sz w:val="20"/>
              <w:i w:val="false"/>
              <w:b w:val="false"/>
              <w:szCs w:val="24"/>
              <w:rFonts w:ascii="Arial" w:hAnsi="Arial" w:eastAsia="Arial" w:cs="Courier New"/>
            </w:rPr>
          </w:pPr>
          <w:r>
            <w:rPr/>
          </w:r>
          <w:r/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Style1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31.05.2019</w:t>
          </w:r>
          <w:r/>
        </w:p>
      </w:tc>
    </w:tr>
  </w:tbl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p>
    <w:pPr>
      <w:pStyle w:val="ConsPlusNormal"/>
      <w:jc w:val="center"/>
    </w:pPr>
    <w:r>
      <w:rPr>
        <w:sz w:val="10"/>
      </w:rPr>
      <w:t xml:space="preserve"> </w:t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/>
            <w:drawing>
              <wp:inline distT="0" distB="0" distL="0" distR="0">
                <wp:extent cx="1905000" cy="447675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  <w:p>
          <w:pPr>
            <w:pStyle w:val="ConsPlusNormal"/>
            <w:jc w:val="left"/>
          </w:pPr>
          <w:r>
            <w:rPr>
              <w:rFonts w:ascii="0" w:hAnsi="0"/>
              <w:b w:val="false"/>
              <w:i w:val="false"/>
              <w:sz w:val="16"/>
            </w:rPr>
            <w:t>Указ Губернатора города Севастополя от 21.05.2019 N 48-УГ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 наделении полномочиями по направлению запросов в кредитные ...</w:t>
          </w:r>
          <w:r/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jc w:val="center"/>
            <w:rPr>
              <w:dstrike w:val="false"/>
              <w:strike w:val="false"/>
              <w:sz w:val="20"/>
              <w:i w:val="false"/>
              <w:u w:val="none"/>
              <w:b w:val="false"/>
              <w:sz w:val="20"/>
              <w:i w:val="false"/>
              <w:b w:val="false"/>
              <w:szCs w:val="24"/>
              <w:rFonts w:ascii="Arial" w:hAnsi="Arial" w:eastAsia="Arial" w:cs="Courier New"/>
            </w:rPr>
          </w:pPr>
          <w:r>
            <w:rPr/>
          </w:r>
          <w:r/>
        </w:p>
        <w:p>
          <w:pPr>
            <w:pStyle w:val="ConsPlusNormal"/>
            <w:jc w:val="center"/>
            <w:rPr>
              <w:dstrike w:val="false"/>
              <w:strike w:val="false"/>
              <w:sz w:val="20"/>
              <w:i w:val="false"/>
              <w:u w:val="none"/>
              <w:b w:val="false"/>
              <w:sz w:val="20"/>
              <w:i w:val="false"/>
              <w:b w:val="false"/>
              <w:szCs w:val="24"/>
              <w:rFonts w:ascii="Arial" w:hAnsi="Arial" w:eastAsia="Arial" w:cs="Courier New"/>
            </w:rPr>
          </w:pPr>
          <w:r>
            <w:rPr/>
          </w:r>
          <w:r/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2">
            <w:r>
              <w:rPr>
                <w:rStyle w:val="Style1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31.05.2019</w:t>
          </w:r>
          <w:r/>
        </w:p>
      </w:tc>
    </w:tr>
  </w:tbl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p>
    <w:pPr>
      <w:pStyle w:val="ConsPlusNormal"/>
      <w:jc w:val="center"/>
    </w:pPr>
    <w:r>
      <w:rPr>
        <w:sz w:val="10"/>
      </w:rPr>
      <w:t xml:space="preserve"> </w:t>
    </w:r>
    <w:r/>
  </w:p>
</w:hdr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 PL UMing HK" w:cs="Lohit Devanagari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ohit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ohit Devanagari"/>
    </w:rPr>
  </w:style>
  <w:style w:type="paragraph" w:styleId="ConsPlusNormal">
    <w:name w:val="  ConsPlusNormal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Nonformat">
    <w:name w:val="  ConsPlusNonformat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">
    <w:name w:val="  ConsPlusTitle"/>
    <w:pPr>
      <w:widowControl/>
      <w:suppressAutoHyphens w:val="true"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Cell">
    <w:name w:val="  ConsPlusCell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DocList">
    <w:name w:val="  ConsPlusDocList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Page">
    <w:name w:val="  ConsPlusTitlePage"/>
    <w:pPr>
      <w:widowControl/>
      <w:suppressAutoHyphens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JurTerm">
    <w:name w:val="  ConsPlusJurTerm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6"/>
      <w:szCs w:val="24"/>
      <w:u w:val="none"/>
      <w:lang w:val="ru-RU" w:eastAsia="zh-CN" w:bidi="hi-IN"/>
    </w:rPr>
  </w:style>
  <w:style w:type="paragraph" w:styleId="ConsPlusTextList">
    <w:name w:val="  ConsPlusTextList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Style20">
    <w:name w:val="Верхний колонтитул"/>
    <w:basedOn w:val="Normal"/>
    <w:pPr/>
    <w:rPr/>
  </w:style>
  <w:style w:type="paragraph" w:styleId="Style21">
    <w:name w:val="Ниж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LibreOffice_project/430$Build-2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2019-05-31T12:32:00Z</dcterms:created>
  <dc:language>ru-RU</dc:language>
  <cp:revision>0</cp:revision>
  <dc:title>Указ Губернатора города Севастополя от 21.05.2019 N 48-УГ"О наделении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коррупции"</dc:title>
</cp:coreProperties>
</file>