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0" w:hanging="0"/>
        <w:jc w:val="left"/>
        <w:outlineLvl w:val="0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ПРАВИТЕЛЬСТВО СЕВАСТОПОЛЯ</w:t>
      </w:r>
      <w:r/>
    </w:p>
    <w:p>
      <w:pPr>
        <w:pStyle w:val="ConsPlusTitle"/>
        <w:ind w:left="0" w:hanging="0"/>
        <w:jc w:val="center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ПОСТАНОВЛЕНИЕ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от 11 октября 2018 г. N 673-ПП</w:t>
      </w:r>
      <w:r/>
    </w:p>
    <w:p>
      <w:pPr>
        <w:pStyle w:val="ConsPlusTitle"/>
        <w:ind w:left="0" w:hanging="0"/>
        <w:jc w:val="center"/>
        <w:rPr>
          <w:dstrike w:val="false"/>
          <w:strike w:val="false"/>
          <w:sz w:val="20"/>
          <w:i w:val="false"/>
          <w:u w:val="none"/>
          <w:b/>
          <w:sz w:val="20"/>
          <w:i w:val="false"/>
          <w:b/>
          <w:szCs w:val="24"/>
          <w:rFonts w:ascii="Arial" w:hAnsi="Arial" w:eastAsia="Arial" w:cs="Courier New"/>
        </w:rPr>
      </w:pPr>
      <w:r>
        <w:rPr>
          <w:b/>
          <w:i w:val="false"/>
          <w:strike w:val="false"/>
          <w:dstrike w:val="false"/>
          <w:sz w:val="20"/>
          <w:u w:val="none"/>
        </w:rPr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О МЕРАХ ПО РЕАЛИЗАЦИИ ОТДЕЛЬНЫХ ПОЛОЖЕНИЙ</w:t>
      </w:r>
      <w:r/>
    </w:p>
    <w:p>
      <w:pPr>
        <w:pStyle w:val="ConsPlusTitle"/>
        <w:ind w:left="0" w:hanging="0"/>
        <w:jc w:val="center"/>
      </w:pPr>
      <w:r>
        <w:rPr>
          <w:b/>
          <w:i w:val="false"/>
          <w:strike w:val="false"/>
          <w:dstrike w:val="false"/>
          <w:sz w:val="20"/>
          <w:u w:val="none"/>
        </w:rPr>
        <w:t>ФЕДЕРАЛЬНОГО ЗАКОНА "О ПРОТИВОДЕЙСТВИИ КОРРУПЦИИ"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Руководствуясь Федеральным </w:t>
      </w:r>
      <w:hyperlink r:id="rId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законом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от 25.12.2008 N 273-ФЗ "О противодействии коррупции", </w:t>
      </w:r>
      <w:hyperlink r:id="rId3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Указом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Президента Российской Федерации от 21.07.2010 N 925 "О мерах по реализации отдельных положений Федерального закона "О противодействии коррупции", </w:t>
      </w:r>
      <w:hyperlink r:id="rId4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Уставом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города Севастополя, законами города Севастополя от 30.04.2014 </w:t>
      </w:r>
      <w:hyperlink r:id="rId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5-ЗС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 Правительстве Севастополя", от 30.04.2014 </w:t>
      </w:r>
      <w:hyperlink r:id="rId6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6-ЗС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 системе исполнительных органов государственной власти города Севастополя", от 11.06.2014 </w:t>
      </w:r>
      <w:hyperlink r:id="rId7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30-ЗС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 противодействии коррупции в городе Севастополе", от 23.01.2015 </w:t>
      </w:r>
      <w:hyperlink r:id="rId8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109-ЗС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 реестре должностей государственной гражданской службы города Севастополя", от 29.09.2015 </w:t>
      </w:r>
      <w:hyperlink r:id="rId9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N 185-ЗС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"О правовых актах города Севастополя", Правительство Севастополя постановляет: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1. Установить, что гражданин Российской Федерации, замещавший должность государственной гражданской службы города Севастополя в исполнительном органе государственной власти города Севастополя, включенную в </w:t>
      </w:r>
      <w:hyperlink r:id="rId10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раздел I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Перечня должностей государственной гражданской службы города Севастополя, при замещении которых государственные гражданские служащие города Севастополя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Правительства Севастополя от 14.06.2016 N 576-ПП (далее - Перечень), в течение двух лет со дня увольнения с государственной гражданской службы города Севастополя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города Севастополя и урегулированию конфликта интересов.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2. Руководителям исполнительных органов государственной власти города Севастополя: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bookmarkStart w:id="0" w:name="Par15"/>
      <w:bookmarkEnd w:id="0"/>
      <w:r>
        <w:rPr>
          <w:b w:val="false"/>
          <w:i w:val="false"/>
          <w:strike w:val="false"/>
          <w:dstrike w:val="false"/>
          <w:sz w:val="20"/>
          <w:u w:val="none"/>
        </w:rPr>
        <w:t xml:space="preserve">- в месячный срок определить должности государственной гражданской службы города Севастополя, при замещении которых в течение двух лет после увольнения на гражданина налагаются ограничения, предусмотренные </w:t>
      </w:r>
      <w:hyperlink r:id="rId11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статьей 12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от 25.12.2008 N 273-ФЗ "О противодействии коррупции", в возглавляемых ими исполнительных органах, за исключением должностей, находящихся в их подчинении, названных в </w:t>
      </w:r>
      <w:hyperlink r:id="rId12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разделе I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Перечня;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- до определения должностей, указанных в </w:t>
      </w:r>
      <w:hyperlink w:anchor="Par1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абзаце втором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настоящего пункта постановления, руководствоваться перечнем должностей, утвержденным в соответствии с </w:t>
      </w:r>
      <w:hyperlink r:id="rId13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разделом II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Перечня.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3. Рекомендовать иным органам государственной власти города Севастополя определить должности государственной гражданской службы, при замещении которых в течение двух лет после увольнения на гражданина налагаются ограничения, предусмотренные </w:t>
      </w:r>
      <w:hyperlink r:id="rId14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статьей 12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Федерального закона от 25.12.2008 N 273-ФЗ "О противодействии коррупции".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4. Признать утратившими силу: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sectPr>
          <w:headerReference w:type="default" r:id="rId16"/>
          <w:headerReference w:type="first" r:id="rId17"/>
          <w:footerReference w:type="default" r:id="rId18"/>
          <w:footerReference w:type="first" r:id="rId19"/>
          <w:type w:val="nextPage"/>
          <w:pgSz w:w="11906" w:h="16838"/>
          <w:pgMar w:left="1133" w:right="566" w:header="0" w:top="1440" w:footer="0" w:bottom="1440" w:gutter="0"/>
          <w:pgNumType w:fmt="decimal"/>
          <w:formProt w:val="false"/>
          <w:titlePg/>
          <w:textDirection w:val="lrTb"/>
          <w:docGrid w:type="default" w:linePitch="240" w:charSpace="4294961151"/>
        </w:sect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- </w:t>
      </w:r>
      <w:hyperlink r:id="rId15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31.12.2014 N 721 "Об утверждении Перечня должностей государственной гражданской службы города Севастополя, при замещении которых в течение двух лет со дня увольнения со службы на гражданина налагаются антикоррупционные ограничения";</w:t>
      </w:r>
      <w:r/>
    </w:p>
    <w:p>
      <w:pPr>
        <w:pStyle w:val="ConsPlusNormal"/>
        <w:spacing w:before="200" w:after="0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- </w:t>
      </w:r>
      <w:hyperlink r:id="rId20">
        <w:r>
          <w:rPr>
            <w:rStyle w:val="Style14"/>
            <w:b w:val="false"/>
            <w:i w:val="false"/>
            <w:strike w:val="false"/>
            <w:dstrike w:val="false"/>
            <w:color w:val="0000FF"/>
            <w:sz w:val="20"/>
            <w:u w:val="none"/>
          </w:rPr>
          <w:t>постановление</w:t>
        </w:r>
      </w:hyperlink>
      <w:r>
        <w:rPr>
          <w:b w:val="false"/>
          <w:i w:val="false"/>
          <w:strike w:val="false"/>
          <w:dstrike w:val="false"/>
          <w:sz w:val="20"/>
          <w:u w:val="none"/>
        </w:rPr>
        <w:t xml:space="preserve"> Правительства Севастополя от 24.08.2015 N 798-ПП "О внесении изменений в постановление Правительства Севастополя от 31.12.2014 N 721 "Об утверждении Перечня должностей государственной гражданской службы города Севастополя, при замещении которых в течение двух лет со дня увольнения со службы на гражданина налагаются антикоррупционные ограничения".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5. Настоящее постановление вступает в силу по истечении десяти дней после дня его официального опубликования.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firstLine="540"/>
        <w:jc w:val="both"/>
      </w:pPr>
      <w:r>
        <w:rPr>
          <w:b w:val="false"/>
          <w:i w:val="false"/>
          <w:strike w:val="false"/>
          <w:dstrike w:val="false"/>
          <w:sz w:val="20"/>
          <w:u w:val="none"/>
        </w:rPr>
        <w:t>6. Контроль за исполнением настоящего постановления возложить на исполняющего обязанности заместителя Губернатора - Председателя Правительства Севастополя Татарчука В.В.</w:t>
      </w:r>
      <w:r/>
    </w:p>
    <w:p>
      <w:pPr>
        <w:pStyle w:val="ConsPlusNormal"/>
        <w:ind w:left="0" w:firstLine="54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Губернатор города Севастополя</w:t>
      </w:r>
      <w:r/>
    </w:p>
    <w:p>
      <w:pPr>
        <w:pStyle w:val="ConsPlusNormal"/>
        <w:ind w:left="0" w:hanging="0"/>
        <w:jc w:val="right"/>
      </w:pPr>
      <w:r>
        <w:rPr>
          <w:b w:val="false"/>
          <w:i w:val="false"/>
          <w:strike w:val="false"/>
          <w:dstrike w:val="false"/>
          <w:sz w:val="20"/>
          <w:u w:val="none"/>
        </w:rPr>
        <w:t>Д.В.ОВСЯННИКОВ</w:t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  <w:r/>
    </w:p>
    <w:p>
      <w:pPr>
        <w:pStyle w:val="ConsPlusNormal"/>
        <w:pBdr>
          <w:top w:val="single" w:sz="6" w:space="0" w:color="000001"/>
        </w:pBdr>
        <w:spacing w:before="100" w:after="100"/>
        <w:ind w:left="0" w:hanging="0"/>
        <w:jc w:val="both"/>
        <w:rPr>
          <w:dstrike w:val="false"/>
          <w:strike w:val="false"/>
          <w:sz w:val="20"/>
          <w:i w:val="false"/>
          <w:u w:val="none"/>
          <w:b w:val="false"/>
          <w:sz w:val="20"/>
          <w:i w:val="false"/>
          <w:b w:val="false"/>
          <w:szCs w:val="24"/>
          <w:rFonts w:ascii="Arial" w:hAnsi="Arial" w:eastAsia="Arial" w:cs="Courier New"/>
        </w:rPr>
      </w:pPr>
      <w:r>
        <w:rPr/>
      </w:r>
      <w:r/>
    </w:p>
    <w:sectPr>
      <w:headerReference w:type="default" r:id="rId21"/>
      <w:footerReference w:type="default" r:id="rId22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0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367"/>
      <w:gridCol w:w="3469"/>
      <w:gridCol w:w="3371"/>
    </w:tblGrid>
    <w:tr>
      <w:trPr>
        <w:trHeight w:val="1663" w:hRule="exact"/>
      </w:trPr>
      <w:tc>
        <w:tcPr>
          <w:tcW w:w="3367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  <w:r/>
        </w:p>
      </w:tc>
      <w:tc>
        <w:tcPr>
          <w:tcW w:w="3469" w:type="dxa"/>
          <w:tcBorders/>
          <w:shd w:fill="auto" w:val="clear"/>
          <w:vAlign w:val="center"/>
        </w:tcPr>
        <w:p>
          <w:pPr>
            <w:pStyle w:val="ConsPlusNormal"/>
            <w:jc w:val="center"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  <w:r/>
        </w:p>
      </w:tc>
      <w:tc>
        <w:tcPr>
          <w:tcW w:w="3371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1" w:name="__Fieldmark__4814_1713289434"/>
          <w:r>
            <w:rPr>
              <w:rFonts w:ascii="0" w:hAnsi="0"/>
              <w:b w:val="false"/>
              <w:i w:val="false"/>
              <w:sz w:val="20"/>
            </w:rPr>
          </w:r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bookmarkEnd w:id="1"/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2" w:name="__Fieldmark__4817_1713289434"/>
          <w:r>
            <w:rPr>
              <w:rFonts w:ascii="0" w:hAnsi="0"/>
              <w:b w:val="false"/>
              <w:i w:val="false"/>
              <w:sz w:val="20"/>
            </w:rPr>
          </w:r>
          <w:bookmarkEnd w:id="2"/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r/>
        </w:p>
      </w:tc>
    </w:tr>
  </w:tbl>
  <w:p>
    <w:pPr>
      <w:pStyle w:val="ConsPlusNormal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367"/>
      <w:gridCol w:w="3469"/>
      <w:gridCol w:w="3371"/>
    </w:tblGrid>
    <w:tr>
      <w:trPr>
        <w:trHeight w:val="1663" w:hRule="exact"/>
      </w:trPr>
      <w:tc>
        <w:tcPr>
          <w:tcW w:w="3367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  <w:r/>
        </w:p>
      </w:tc>
      <w:tc>
        <w:tcPr>
          <w:tcW w:w="3469" w:type="dxa"/>
          <w:tcBorders/>
          <w:shd w:fill="auto" w:val="clear"/>
          <w:vAlign w:val="center"/>
        </w:tcPr>
        <w:p>
          <w:pPr>
            <w:pStyle w:val="ConsPlusNormal"/>
            <w:jc w:val="center"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  <w:r/>
        </w:p>
      </w:tc>
      <w:tc>
        <w:tcPr>
          <w:tcW w:w="3371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3" w:name="__Fieldmark__4832_1713289434"/>
          <w:r>
            <w:rPr>
              <w:rFonts w:ascii="0" w:hAnsi="0"/>
              <w:b w:val="false"/>
              <w:i w:val="false"/>
              <w:sz w:val="20"/>
            </w:rPr>
          </w:r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bookmarkEnd w:id="3"/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4" w:name="__Fieldmark__4835_1713289434"/>
          <w:r>
            <w:rPr>
              <w:rFonts w:ascii="0" w:hAnsi="0"/>
              <w:b w:val="false"/>
              <w:i w:val="false"/>
              <w:sz w:val="20"/>
            </w:rPr>
          </w:r>
          <w:bookmarkEnd w:id="4"/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r/>
        </w:p>
      </w:tc>
    </w:tr>
  </w:tbl>
  <w:p>
    <w:pPr>
      <w:pStyle w:val="ConsPlusNormal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3367"/>
      <w:gridCol w:w="3469"/>
      <w:gridCol w:w="3371"/>
    </w:tblGrid>
    <w:tr>
      <w:trPr>
        <w:trHeight w:val="1663" w:hRule="exact"/>
      </w:trPr>
      <w:tc>
        <w:tcPr>
          <w:tcW w:w="3367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/>
              <w:i w:val="false"/>
              <w:color w:val="F58220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000000"/>
              <w:sz w:val="16"/>
            </w:rPr>
            <w:t>надежная правовая поддержка</w:t>
          </w:r>
          <w:r/>
        </w:p>
      </w:tc>
      <w:tc>
        <w:tcPr>
          <w:tcW w:w="3469" w:type="dxa"/>
          <w:tcBorders/>
          <w:shd w:fill="auto" w:val="clear"/>
          <w:vAlign w:val="center"/>
        </w:tcPr>
        <w:p>
          <w:pPr>
            <w:pStyle w:val="ConsPlusNormal"/>
            <w:jc w:val="center"/>
          </w:pPr>
          <w:hyperlink r:id="rId1">
            <w:r>
              <w:rPr>
                <w:rStyle w:val="Style14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  <w:r/>
        </w:p>
      </w:tc>
      <w:tc>
        <w:tcPr>
          <w:tcW w:w="3371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bookmarkStart w:id="5" w:name="__Fieldmark__4814_1713289434"/>
          <w:r>
            <w:rPr>
              <w:rFonts w:ascii="0" w:hAnsi="0"/>
              <w:b w:val="false"/>
              <w:i w:val="false"/>
              <w:sz w:val="20"/>
            </w:rPr>
          </w:r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bookmarkEnd w:id="5"/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bookmarkStart w:id="6" w:name="__Fieldmark__4817_1713289434"/>
          <w:r>
            <w:rPr>
              <w:rFonts w:ascii="0" w:hAnsi="0"/>
              <w:b w:val="false"/>
              <w:i w:val="false"/>
              <w:sz w:val="20"/>
            </w:rPr>
          </w:r>
          <w:bookmarkEnd w:id="6"/>
          <w:r>
            <w:rPr>
              <w:rFonts w:ascii="0" w:hAnsi="0"/>
              <w:b w:val="false"/>
              <w:i w:val="false"/>
              <w:sz w:val="20"/>
            </w:rPr>
          </w:r>
          <w:r>
            <w:fldChar w:fldCharType="end"/>
          </w:r>
          <w:r/>
        </w:p>
      </w:tc>
    </w:tr>
  </w:tbl>
  <w:p>
    <w:pPr>
      <w:pStyle w:val="ConsPlusNormal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 w:val="false"/>
              <w:i w:val="false"/>
              <w:sz w:val="16"/>
            </w:rPr>
            <w:t>Постановление Правительства Севастополя от 11.10.2018 N 673-ПП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мерах по реализации отдельных положений Федерального з...</w:t>
          </w:r>
          <w:r/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27.05.2019</w:t>
          </w:r>
          <w:r/>
        </w:p>
      </w:tc>
    </w:tr>
  </w:tbl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p>
    <w:pPr>
      <w:pStyle w:val="ConsPlusNormal"/>
      <w:jc w:val="center"/>
    </w:pPr>
    <w:r>
      <w:rPr>
        <w:sz w:val="10"/>
      </w:rPr>
      <w:t xml:space="preserve"> </w:t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/>
            <w:drawing>
              <wp:inline distT="0" distB="0" distL="0" distR="0">
                <wp:extent cx="1905000" cy="447675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  <w:p>
          <w:pPr>
            <w:pStyle w:val="ConsPlusNormal"/>
            <w:jc w:val="left"/>
          </w:pPr>
          <w:r>
            <w:rPr>
              <w:rFonts w:ascii="0" w:hAnsi="0"/>
              <w:b w:val="false"/>
              <w:i w:val="false"/>
              <w:sz w:val="16"/>
            </w:rPr>
            <w:t>Постановление Правительства Севастополя от 11.10.2018 N 673-ПП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мерах по реализации отдельных положений Федерального з...</w:t>
          </w:r>
          <w:r/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2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27.05.2019</w:t>
          </w:r>
          <w:r/>
        </w:p>
      </w:tc>
    </w:tr>
  </w:tbl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p>
    <w:pPr>
      <w:pStyle w:val="ConsPlusNormal"/>
      <w:jc w:val="center"/>
    </w:pPr>
    <w:r>
      <w:rPr>
        <w:sz w:val="10"/>
      </w:rPr>
      <w:t xml:space="preserve"> </w:t>
    </w:r>
    <w:r/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jc w:val="left"/>
          </w:pPr>
          <w:r>
            <w:rPr>
              <w:rFonts w:ascii="0" w:hAnsi="0"/>
              <w:b w:val="false"/>
              <w:i w:val="false"/>
              <w:sz w:val="16"/>
            </w:rPr>
            <w:t>Постановление Правительства Севастополя от 11.10.2018 N 673-ПП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 мерах по реализации отдельных положений Федерального з...</w:t>
          </w:r>
          <w:r/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  <w:p>
          <w:pPr>
            <w:pStyle w:val="ConsPlusNormal"/>
            <w:jc w:val="center"/>
            <w:rPr>
              <w:dstrike w:val="false"/>
              <w:strike w:val="false"/>
              <w:sz w:val="20"/>
              <w:i w:val="false"/>
              <w:u w:val="none"/>
              <w:b w:val="false"/>
              <w:sz w:val="20"/>
              <w:i w:val="false"/>
              <w:b w:val="false"/>
              <w:szCs w:val="24"/>
              <w:rFonts w:ascii="Arial" w:hAnsi="Arial" w:eastAsia="Arial" w:cs="Courier New"/>
            </w:rPr>
          </w:pPr>
          <w:r>
            <w:rPr/>
          </w:r>
          <w:r/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jc w:val="right"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Style1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27.05.2019</w:t>
          </w:r>
          <w:r/>
        </w:p>
      </w:tc>
    </w:tr>
  </w:tbl>
  <w:p>
    <w:pPr>
      <w:pStyle w:val="ConsPlusNormal"/>
      <w:pBdr>
        <w:bottom w:val="single" w:sz="12" w:space="0" w:color="000001"/>
      </w:pBdr>
      <w:jc w:val="center"/>
      <w:rPr>
        <w:dstrike w:val="false"/>
        <w:strike w:val="false"/>
        <w:sz w:val="1"/>
        <w:i w:val="false"/>
        <w:u w:val="none"/>
        <w:b w:val="false"/>
        <w:sz w:val="1"/>
        <w:i w:val="false"/>
        <w:b w:val="false"/>
        <w:szCs w:val="24"/>
        <w:rFonts w:ascii="Arial" w:hAnsi="Arial" w:eastAsia="Arial" w:cs="Courier New"/>
      </w:rPr>
    </w:pPr>
    <w:r>
      <w:rPr>
        <w:sz w:val="1"/>
      </w:rPr>
    </w:r>
    <w:r/>
  </w:p>
  <w:p>
    <w:pPr>
      <w:pStyle w:val="ConsPlusNormal"/>
      <w:jc w:val="center"/>
    </w:pPr>
    <w:r>
      <w:rPr>
        <w:sz w:val="10"/>
      </w:rPr>
      <w:t xml:space="preserve"> </w:t>
    </w:r>
    <w:r/>
  </w:p>
</w:hdr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 PL UMing HK" w:cs="Lohit Devanagari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Devanagari"/>
    </w:rPr>
  </w:style>
  <w:style w:type="paragraph" w:styleId="ConsPlusNormal">
    <w:name w:val="  ConsPlusNormal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Nonformat">
    <w:name w:val="  ConsPlusNonforma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">
    <w:name w:val="  ConsPlusTitle"/>
    <w:pPr>
      <w:widowControl/>
      <w:suppressAutoHyphens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Cell">
    <w:name w:val="  ConsPlusCell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DocList">
    <w:name w:val="  ConsPlusDocList"/>
    <w:pPr>
      <w:widowControl/>
      <w:suppressAutoHyphens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TitlePage">
    <w:name w:val="  ConsPlusTitlePage"/>
    <w:pPr>
      <w:widowControl/>
      <w:suppressAutoHyphens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ConsPlusJurTerm">
    <w:name w:val="  ConsPlusJurTerm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6"/>
      <w:szCs w:val="24"/>
      <w:u w:val="none"/>
      <w:lang w:val="ru-RU" w:eastAsia="zh-CN" w:bidi="hi-IN"/>
    </w:rPr>
  </w:style>
  <w:style w:type="paragraph" w:styleId="ConsPlusTextList">
    <w:name w:val="  ConsPlusTextList"/>
    <w:pPr>
      <w:widowControl/>
      <w:suppressAutoHyphens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sz w:val="20"/>
      <w:szCs w:val="24"/>
      <w:u w:val="none"/>
      <w:lang w:val="ru-RU" w:eastAsia="zh-CN" w:bidi="hi-IN"/>
    </w:rPr>
  </w:style>
  <w:style w:type="paragraph" w:styleId="Style20">
    <w:name w:val="Верхний колонтитул"/>
    <w:basedOn w:val="Normal"/>
    <w:pPr/>
    <w:rPr/>
  </w:style>
  <w:style w:type="paragraph" w:styleId="Style21">
    <w:name w:val="Нижний колонтитул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806BCBE85459DD166E707D8A6CBDAA374C07881CDA742AE2F7207A39831C8088C1E9ED9D94CA2ADD96D4BFF69A3B8C0A0E90BB0J6gAI" TargetMode="External"/><Relationship Id="rId3" Type="http://schemas.openxmlformats.org/officeDocument/2006/relationships/hyperlink" Target="consultantplus://offline/ref=9806BCBE85459DD166E707D8A6CBDAA376C17A87C7A142AE2F7207A39831C8088C1E9EDAD047F6FD9F3312AC2AE8B5C7B9F50BB47D3D4249J1g3I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consultantplus://offline/ref=9806BCBE85459DD166E719D5B0A781AE7ECA268DCDAB40F1712D5CFECF38C25FCB51C798944AF7FC9D3847FF65E9E981EBE609B67D3F4756183B8DJ1g8I" TargetMode="External"/><Relationship Id="rId11" Type="http://schemas.openxmlformats.org/officeDocument/2006/relationships/hyperlink" Target="consultantplus://offline/ref=9806BCBE85459DD166E707D8A6CBDAA374C07881CDA742AE2F7207A39831C8088C1E9ED9D84CA2ADD96D4BFF69A3B8C0A0E90BB0J6gAI" TargetMode="External"/><Relationship Id="rId12" Type="http://schemas.openxmlformats.org/officeDocument/2006/relationships/hyperlink" Target="consultantplus://offline/ref=9806BCBE85459DD166E719D5B0A781AE7ECA268DCDAB40F1712D5CFECF38C25FCB51C798944AF7FC9D3847FF65E9E981EBE609B67D3F4756183B8DJ1g8I" TargetMode="External"/><Relationship Id="rId13" Type="http://schemas.openxmlformats.org/officeDocument/2006/relationships/hyperlink" Target="consultantplus://offline/ref=9806BCBE85459DD166E719D5B0A781AE7ECA268DCDAB40F1712D5CFECF38C25FCB51C798944AF7FC9D3847F965E9E981EBE609B67D3F4756183B8DJ1g8I" TargetMode="External"/><Relationship Id="rId14" Type="http://schemas.openxmlformats.org/officeDocument/2006/relationships/hyperlink" Target="consultantplus://offline/ref=9806BCBE85459DD166E707D8A6CBDAA374C07881CDA742AE2F7207A39831C8088C1E9ED9D84CA2ADD96D4BFF69A3B8C0A0E90BB0J6gAI" TargetMode="External"/><Relationship Id="rId15" Type="http://schemas.openxmlformats.org/officeDocument/2006/relationships/hyperlink" Target="consultantplus://offline/ref=9806BCBE85459DD166E719D5B0A781AE7ECA268DCFA24AFF742D5CFECF38C25FCB51C78A9412FBFE9A2646F870BFB8C4JBg7I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0" Type="http://schemas.openxmlformats.org/officeDocument/2006/relationships/hyperlink" Target="consultantplus://offline/ref=9806BCBE85459DD166E719D5B0A781AE7ECA268DC7AA4AF1787056F69634C058C40EC29F854AF4FB833843E36CBDB9JCgCI" TargetMode="Externa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onsultant.ru/" TargetMode="External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LibreOffice/4.3.7.2$Linux_X86_64 LibreOffice_project/430$Build-2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2019-05-27T11:32:00Z</dcterms:created>
  <dc:language>ru-RU</dc:language>
  <cp:revision>0</cp:revision>
  <dc:title>Постановление Правительства Севастополя от 11.10.2018 N 673-ПП"О мерах по реализации отдельных положений Федерального закона "О противодействии коррупции"</dc:title>
</cp:coreProperties>
</file>